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Exterior Painting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Job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Address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Crew lead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Conditions gate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Forecast checked for the full coating and cure window, not only for the working hours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Surface temperature checked on each elevation, in shade and in sun, against the product range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Dew point checked and a stop time set that leaves the film out of its vulnerable stage by evening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Wind assessed for spray work, and masking increased or spraying deferred accordingly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Survey and protection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Full elevation walk done with a scraper, and failure extent compared against the estimate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Moisture sources identified and reported, rather than coated over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Change order raised and signed before any additional scope goes in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Plants, paths, driveways, furniture, vehicles and neighboring property protected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Windows, fittings, lights and meters masked, and doors sealed against dust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Ladder and access equipment set on firm level ground, tied or footed, checked each morning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Prep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House washed, then given genuine drying time before anything is scraped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Loose and failing coating scraped back to a sound edge, then feathered rather than left as a ridge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Biological growth treated rather than only washed off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Bare wood, filler and knots primed with the correct primer for the substrate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Exterior grade caulk applied after scraping and sanding, and tooled into the joint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Coating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Spread rate checked against the product data rather than judged by eye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Sprayed coats back rolled or back brushed on porous substrates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Work sequenced to follow the shade around the building through the day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Coats applied top down, body before trim, doors and spray work last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Recoat times respected as stated by the manufacturer for the actual conditions on site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Inspection and close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Each elevation inspected from ground level and from the ladder, in daylight, before moving 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Masking removed the same day, before it bonds or blows away overnight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Site cleared each evening, ladders taken down or secured, gates and access left as found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Leftover product labeled by elevation and color and left with the customer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