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Color Approval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Job number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Property address</w:t>
            </w:r>
          </w:p>
        </w:tc>
        <w:tc>
          <w:tcPr>
            <w:tcW w:type="dxa" w:w="2160"/>
          </w:tcPr>
          <w:p/>
        </w:tc>
      </w:tr>
    </w:tbl>
    <w:p>
      <w:r>
        <w:t>One row per area and per surface (walls, ceiling, trim, doors). Sample seen: brush out, chip, or none.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Room or elevation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Surface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Color name and code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Brand and product line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Sheen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Sample seen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1"/>
      </w:pPr>
      <w:r>
        <w:t>Agreement</w:t>
      </w:r>
    </w:p>
    <w:p>
      <w:r>
        <w:rPr>
          <w:b/>
        </w:rPr>
        <w:t>The colors listed above are what will be applied, and paint will be ordered on this basis.</w:t>
      </w:r>
    </w:p>
    <w:p>
      <w:r>
        <w:rPr>
          <w:b/>
        </w:rPr>
        <w:t>Changes after this point may affect the price and the schedule. Repainting a completed surface because of a change of mind is chargeable.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Printed 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Customer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Contractor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