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Scope of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Customer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Property address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Job number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Version and 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Estimate reference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Prepared by</w:t>
            </w:r>
          </w:p>
        </w:tc>
        <w:tc>
          <w:tcPr>
            <w:tcW w:type="dxa" w:w="2160"/>
          </w:tcPr>
          <w:p/>
        </w:tc>
      </w:tr>
    </w:tbl>
    <w:p>
      <w:r>
        <w:t>For each area, list every surface on its own line with its preparation, product and sheen, and coats. Anything not listed is not included.</w:t>
      </w:r>
    </w:p>
    <w:p>
      <w:pPr>
        <w:pStyle w:val="Heading1"/>
      </w:pPr>
      <w:r>
        <w:t>Area 1: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Surface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Product and sheen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Coats</w:t>
            </w:r>
          </w:p>
        </w:tc>
      </w:tr>
      <w:tr>
        <w:tc>
          <w:tcPr>
            <w:tcW w:type="dxa" w:w="2160"/>
          </w:tcPr>
          <w:p>
            <w:r>
              <w:t>Walls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Ceiling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Baseboard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Door casing and doors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Window frames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Area 2: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Surface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Product and sheen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Coats</w:t>
            </w:r>
          </w:p>
        </w:tc>
      </w:tr>
      <w:tr>
        <w:tc>
          <w:tcPr>
            <w:tcW w:type="dxa" w:w="2160"/>
          </w:tcPr>
          <w:p>
            <w:r>
              <w:t>Walls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Ceiling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Baseboard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Door casing and doors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Window frames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Area 3: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Surface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Product and sheen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Coats</w:t>
            </w:r>
          </w:p>
        </w:tc>
      </w:tr>
      <w:tr>
        <w:tc>
          <w:tcPr>
            <w:tcW w:type="dxa" w:w="2160"/>
          </w:tcPr>
          <w:p>
            <w:r>
              <w:t>Walls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Ceiling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Baseboard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Door casing and doors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Window frames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Coats: the price assumes the number of coats stated per surface. Additional coats required by the color choice will be handled as a change order.</w:t>
      </w:r>
    </w:p>
    <w:p>
      <w:pPr>
        <w:pStyle w:val="Heading1"/>
      </w:pPr>
      <w:r>
        <w:t>Not included</w:t>
      </w:r>
    </w:p>
    <w:p>
      <w:pPr>
        <w:pStyle w:val="ListBullet"/>
      </w:pPr>
      <w:r>
        <w:t>Surfaces in these rooms that are not being coated: ____________</w:t>
      </w:r>
    </w:p>
    <w:p>
      <w:pPr>
        <w:pStyle w:val="ListBullet"/>
      </w:pPr>
      <w:r>
        <w:t>Rooms or elevations not being worked on: ____________</w:t>
      </w:r>
    </w:p>
    <w:p>
      <w:pPr>
        <w:pStyle w:val="ListBullet"/>
      </w:pPr>
      <w:r>
        <w:t>Wallpaper removal, unless stated</w:t>
      </w:r>
    </w:p>
    <w:p>
      <w:pPr>
        <w:pStyle w:val="ListBullet"/>
      </w:pPr>
      <w:r>
        <w:t>Repair of structural, plumbing or roofing defects found during preparation</w:t>
      </w:r>
    </w:p>
    <w:p>
      <w:pPr>
        <w:pStyle w:val="ListBullet"/>
      </w:pPr>
      <w:r>
        <w:t>Moving heavy furniture, appliances or electronics</w:t>
      </w:r>
    </w:p>
    <w:p>
      <w:pPr>
        <w:pStyle w:val="ListBullet"/>
      </w:pPr>
      <w:r>
        <w:t>Window glass cleaning beyond our own overspray</w:t>
      </w:r>
    </w:p>
    <w:p>
      <w:pPr>
        <w:pStyle w:val="ListBullet"/>
      </w:pPr>
      <w:r>
        <w:t>Lead or asbestos containing material, which requires separate handling and pricing</w:t>
      </w:r>
    </w:p>
    <w:p>
      <w:pPr>
        <w:pStyle w:val="ListBullet"/>
      </w:pPr>
      <w:r>
        <w:t>Work at heights requiring scaffolding or a lift, unless stated</w:t>
      </w:r>
    </w:p>
    <w:p>
      <w:pPr>
        <w:pStyle w:val="Heading1"/>
      </w:pPr>
      <w:r>
        <w:t>Assumptions</w:t>
      </w:r>
    </w:p>
    <w:p>
      <w:pPr>
        <w:pStyle w:val="ListBullet"/>
      </w:pPr>
      <w:r>
        <w:t>Substrate is sound; remedial work is handled separately as a change order</w:t>
      </w:r>
    </w:p>
    <w:p>
      <w:pPr>
        <w:pStyle w:val="ListBullet"/>
      </w:pPr>
      <w:r>
        <w:t>Rooms will be cleared before the start date</w:t>
      </w:r>
    </w:p>
    <w:p>
      <w:pPr>
        <w:pStyle w:val="ListBullet"/>
      </w:pPr>
      <w:r>
        <w:t>Power, water and lighting are available</w:t>
      </w:r>
    </w:p>
    <w:p>
      <w:pPr>
        <w:pStyle w:val="ListBullet"/>
      </w:pPr>
      <w:r>
        <w:t>Exterior work assumes suitable weather within the stated window</w:t>
      </w:r>
    </w:p>
    <w:p>
      <w:pPr>
        <w:pStyle w:val="ListBullet"/>
      </w:pPr>
      <w:r>
        <w:t>The number of colors is as stated; additional colors may affect the price</w:t>
      </w:r>
    </w:p>
    <w:p>
      <w:pPr>
        <w:pStyle w:val="Heading1"/>
      </w:pPr>
      <w:r>
        <w:t>Agreed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</w:p>
        </w:tc>
        <w:tc>
          <w:tcPr>
            <w:tcW w:type="dxa" w:w="2880"/>
          </w:tcPr>
          <w:p>
            <w:r>
              <w:rPr>
                <w:b/>
              </w:rPr>
              <w:t>Name and signature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880"/>
          </w:tcPr>
          <w:p>
            <w:r>
              <w:t>Contractor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Customer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